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821D6C" w:rsidRPr="001858BD" w:rsidRDefault="00821D6C" w:rsidP="001858BD">
      <w:pP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1858BD" w:rsidRPr="001858B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usluge sanitar</w:t>
      </w:r>
      <w:r w:rsidR="001858BD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nih i prethodnih i preventivnih</w:t>
      </w:r>
      <w:r w:rsidR="00D62922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pregleda</w:t>
      </w:r>
    </w:p>
    <w:p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1858BD" w:rsidRDefault="007D616F" w:rsidP="001858BD">
      <w:pPr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</w:pPr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Start w:id="0" w:name="_Hlk51763201"/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Nabavka</w:t>
      </w:r>
      <w:r w:rsidR="00095D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r w:rsidR="0010059C" w:rsidRPr="001005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usluge sanitarnih i prethodnih i preventivnih</w:t>
      </w:r>
      <w:r w:rsidR="00117029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pregleda</w:t>
      </w: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402"/>
        <w:gridCol w:w="1067"/>
        <w:gridCol w:w="1134"/>
        <w:gridCol w:w="1208"/>
        <w:gridCol w:w="1028"/>
        <w:gridCol w:w="877"/>
        <w:gridCol w:w="892"/>
      </w:tblGrid>
      <w:tr w:rsidR="00274044" w:rsidRPr="00766C07" w:rsidTr="00DF03D1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br.partije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proizvoda </w:t>
            </w:r>
          </w:p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( Dobara 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Ukupan broj pregleda na godišnjem nivou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Period obavljanja pregleda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274044" w:rsidRPr="00766C07" w:rsidTr="00DF03D1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766C07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5 </w:t>
            </w:r>
          </w:p>
        </w:tc>
      </w:tr>
      <w:tr w:rsidR="00274044" w:rsidRPr="00766C07" w:rsidTr="00DF03D1">
        <w:trPr>
          <w:trHeight w:val="1328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bookmarkStart w:id="1" w:name="_Hlk51761348"/>
          </w:p>
          <w:p w:rsidR="00274044" w:rsidRPr="00766C07" w:rsidRDefault="00274044" w:rsidP="00CF4B8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274044" w:rsidRPr="00766C07" w:rsidRDefault="00274044" w:rsidP="00CF4B8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274044" w:rsidRPr="00766C07" w:rsidRDefault="00274044" w:rsidP="00CF4B84">
            <w:pPr>
              <w:rPr>
                <w:rFonts w:ascii="Times New Roman" w:hAnsi="Times New Roman" w:cs="Times New Roman"/>
                <w:lang w:val="sr-Latn-CS"/>
              </w:rPr>
            </w:pPr>
          </w:p>
          <w:p w:rsidR="00274044" w:rsidRPr="00766C07" w:rsidRDefault="0027404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 xml:space="preserve">1. </w:t>
            </w:r>
          </w:p>
          <w:p w:rsidR="00274044" w:rsidRPr="00766C07" w:rsidRDefault="0027404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Redovni zdravstveno sanitarni pregled zaposlenih koji se obavlja na šest meseci (185 zaposlenih)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2x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74044" w:rsidRPr="00766C07" w:rsidTr="00DF03D1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Redovni zdravstveno sanitarni pregled zaposlenih koji se obavlja na dvanaest meseci-zdravstvo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74044" w:rsidRPr="00766C07" w:rsidTr="00DF03D1">
        <w:trPr>
          <w:trHeight w:val="552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b/>
                <w:lang w:val="sr-Latn-CS"/>
              </w:rPr>
              <w:t>Ukupno partija 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DF03D1" w:rsidRPr="00766C07" w:rsidTr="00DF03D1">
        <w:trPr>
          <w:trHeight w:val="552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Prethodni i periodični lekarski pregled radnika na radnim mestima sa povećanim rizikom za žene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64067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DF03D1" w:rsidRPr="00766C07" w:rsidTr="00DF03D1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Prethodni i periodični lekarski pregled radnika na radnim mestima sa povećanim rizikom za muškarce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64067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DF03D1" w:rsidRPr="00766C07" w:rsidTr="00DF03D1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Periodični lekarski pregled radnika na radnom mestu vozača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DF03D1" w:rsidRPr="00766C07" w:rsidTr="00DF03D1">
        <w:trPr>
          <w:trHeight w:val="552"/>
          <w:jc w:val="center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 xml:space="preserve">Periodični oftalmološki pregled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64067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74044" w:rsidRPr="00766C07" w:rsidTr="00DF03D1">
        <w:trPr>
          <w:trHeight w:val="552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DF03D1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b/>
                <w:lang w:val="sr-Latn-CS"/>
              </w:rPr>
              <w:t xml:space="preserve">Ukupno partija </w:t>
            </w:r>
            <w:r w:rsidR="00DF03D1">
              <w:rPr>
                <w:rFonts w:ascii="Times New Roman" w:hAnsi="Times New Roman" w:cs="Times New Roman"/>
                <w:b/>
                <w:lang w:val="sr-Latn-CS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74044" w:rsidRPr="00766C07" w:rsidTr="00DF03D1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lastRenderedPageBreak/>
              <w:t>3</w:t>
            </w:r>
            <w:r w:rsidR="00274044" w:rsidRPr="00766C07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rPr>
                <w:rFonts w:ascii="Times New Roman" w:hAnsi="Times New Roman" w:cs="Times New Roman"/>
              </w:rPr>
            </w:pPr>
            <w:r w:rsidRPr="00766C07">
              <w:rPr>
                <w:rFonts w:ascii="Times New Roman" w:hAnsi="Times New Roman" w:cs="Times New Roman"/>
              </w:rPr>
              <w:t>Ispitivanje nivoa individualnog izlaganja spoljašnjem fotonskom zračenju celog tela profesionalno izloženih lica pomoću termoluminescentnih dozimetara (3 pregleda dozimetra mesečno)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766C07" w:rsidRDefault="00274044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lang w:val="sr-Latn-CS"/>
              </w:rPr>
              <w:t>12 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766C07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74044" w:rsidRPr="00F829CF" w:rsidTr="00DF03D1">
        <w:trPr>
          <w:trHeight w:val="552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044" w:rsidRPr="00F829CF" w:rsidRDefault="00274044" w:rsidP="00DF03D1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b/>
                <w:lang w:val="sr-Latn-CS"/>
              </w:rPr>
              <w:t xml:space="preserve">Ukupno partija </w:t>
            </w:r>
            <w:r w:rsidR="00DF03D1">
              <w:rPr>
                <w:rFonts w:ascii="Times New Roman" w:hAnsi="Times New Roman" w:cs="Times New Roman"/>
                <w:b/>
                <w:lang w:val="sr-Latn-CS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F829CF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F829CF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F829CF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044" w:rsidRPr="00F829CF" w:rsidRDefault="00274044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1"/>
      <w:tr w:rsidR="00DF03D1" w:rsidRPr="00766C07" w:rsidTr="00CF4B84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  <w:r w:rsidRPr="00766C07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Periodični lekarski pregled profesionalno izloženih lica u zoni jonizujućeg zračenja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766C07" w:rsidRDefault="00DF03D1" w:rsidP="00CF4B84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766C07">
              <w:rPr>
                <w:rFonts w:ascii="Times New Roman" w:hAnsi="Times New Roman" w:cs="Times New Roman"/>
                <w:lang w:val="sr-Latn-CS"/>
              </w:rPr>
              <w:t xml:space="preserve"> x godišnje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766C07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DF03D1" w:rsidRPr="00F829CF" w:rsidTr="00CF4B84">
        <w:trPr>
          <w:trHeight w:val="552"/>
          <w:jc w:val="center"/>
        </w:trPr>
        <w:tc>
          <w:tcPr>
            <w:tcW w:w="6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3D1" w:rsidRPr="00F829CF" w:rsidRDefault="00DF03D1" w:rsidP="00DF03D1">
            <w:pPr>
              <w:jc w:val="right"/>
              <w:rPr>
                <w:rFonts w:ascii="Times New Roman" w:hAnsi="Times New Roman" w:cs="Times New Roman"/>
                <w:lang w:val="sr-Latn-CS"/>
              </w:rPr>
            </w:pPr>
            <w:r w:rsidRPr="00766C07">
              <w:rPr>
                <w:rFonts w:ascii="Times New Roman" w:hAnsi="Times New Roman" w:cs="Times New Roman"/>
                <w:b/>
                <w:lang w:val="sr-Latn-CS"/>
              </w:rPr>
              <w:t xml:space="preserve">Ukupno partija </w:t>
            </w:r>
            <w:r>
              <w:rPr>
                <w:rFonts w:ascii="Times New Roman" w:hAnsi="Times New Roman" w:cs="Times New Roman"/>
                <w:b/>
                <w:lang w:val="sr-Latn-CS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F829CF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F829CF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F829CF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D1" w:rsidRPr="00F829CF" w:rsidRDefault="00DF03D1" w:rsidP="00CF4B84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</w:tbl>
    <w:p w:rsidR="008B4E1B" w:rsidRDefault="008B4E1B" w:rsidP="00AE2F5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</w:pPr>
    </w:p>
    <w:bookmarkEnd w:id="0"/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5ED01D24"/>
    <w:multiLevelType w:val="hybridMultilevel"/>
    <w:tmpl w:val="C7E29B64"/>
    <w:lvl w:ilvl="0" w:tplc="88A80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95D9C"/>
    <w:rsid w:val="0010059C"/>
    <w:rsid w:val="001057D7"/>
    <w:rsid w:val="00117029"/>
    <w:rsid w:val="00165017"/>
    <w:rsid w:val="00175443"/>
    <w:rsid w:val="001858BD"/>
    <w:rsid w:val="001865FA"/>
    <w:rsid w:val="0020442C"/>
    <w:rsid w:val="002578AE"/>
    <w:rsid w:val="0026450E"/>
    <w:rsid w:val="00274044"/>
    <w:rsid w:val="002A613B"/>
    <w:rsid w:val="002F0E48"/>
    <w:rsid w:val="00387E50"/>
    <w:rsid w:val="003A0991"/>
    <w:rsid w:val="003A14E6"/>
    <w:rsid w:val="003E7B32"/>
    <w:rsid w:val="004029A8"/>
    <w:rsid w:val="004342D3"/>
    <w:rsid w:val="00583FB9"/>
    <w:rsid w:val="005857F8"/>
    <w:rsid w:val="005A5A8E"/>
    <w:rsid w:val="00640671"/>
    <w:rsid w:val="006447EA"/>
    <w:rsid w:val="00743131"/>
    <w:rsid w:val="007650F9"/>
    <w:rsid w:val="007D616F"/>
    <w:rsid w:val="00821D6C"/>
    <w:rsid w:val="00842024"/>
    <w:rsid w:val="008B4E1B"/>
    <w:rsid w:val="00977710"/>
    <w:rsid w:val="00985E9A"/>
    <w:rsid w:val="00AA738E"/>
    <w:rsid w:val="00AE2F53"/>
    <w:rsid w:val="00B36AB8"/>
    <w:rsid w:val="00C66AE1"/>
    <w:rsid w:val="00CB3567"/>
    <w:rsid w:val="00CF20CE"/>
    <w:rsid w:val="00D023B6"/>
    <w:rsid w:val="00D311E7"/>
    <w:rsid w:val="00D62922"/>
    <w:rsid w:val="00D77609"/>
    <w:rsid w:val="00DE1645"/>
    <w:rsid w:val="00DE6196"/>
    <w:rsid w:val="00DF03D1"/>
    <w:rsid w:val="00E86BA8"/>
    <w:rsid w:val="00E872E3"/>
    <w:rsid w:val="00E95E17"/>
    <w:rsid w:val="00F67674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C2CED-30A4-4857-95F5-9E7E8F8B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51</cp:revision>
  <cp:lastPrinted>2023-03-30T11:29:00Z</cp:lastPrinted>
  <dcterms:created xsi:type="dcterms:W3CDTF">2020-09-02T06:44:00Z</dcterms:created>
  <dcterms:modified xsi:type="dcterms:W3CDTF">2023-03-30T12:10:00Z</dcterms:modified>
</cp:coreProperties>
</file>