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13B" w:rsidRDefault="002A613B" w:rsidP="007D616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</w:p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</w:p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-----------------------------------------------</w:t>
      </w:r>
    </w:p>
    <w:p w:rsidR="00821D6C" w:rsidRPr="00821D6C" w:rsidRDefault="00821D6C" w:rsidP="00821D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 (Naziv ponuđača)</w:t>
      </w:r>
    </w:p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Br:__________________________</w:t>
      </w:r>
    </w:p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Datum:_______________________</w:t>
      </w:r>
    </w:p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821D6C" w:rsidRPr="00821D6C" w:rsidRDefault="00821D6C" w:rsidP="00821D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Obrazac</w:t>
      </w:r>
    </w:p>
    <w:p w:rsidR="00821D6C" w:rsidRPr="00821D6C" w:rsidRDefault="00821D6C" w:rsidP="00821D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sl-SI" w:eastAsia="sr-Latn-CS"/>
        </w:rPr>
        <w:t>P O N U D E</w:t>
      </w:r>
    </w:p>
    <w:p w:rsidR="00821D6C" w:rsidRPr="001858BD" w:rsidRDefault="00821D6C" w:rsidP="001858BD">
      <w:pPr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PREDMET: </w:t>
      </w:r>
      <w:r w:rsidRPr="00821D6C">
        <w:rPr>
          <w:rFonts w:ascii="Times New Roman" w:eastAsia="Calibri" w:hAnsi="Times New Roman" w:cs="Times New Roman"/>
          <w:b/>
          <w:sz w:val="24"/>
          <w:szCs w:val="24"/>
          <w:lang w:val="sr-Cyrl-CS" w:eastAsia="sr-Latn-CS"/>
        </w:rPr>
        <w:t>za nabavku</w:t>
      </w:r>
      <w:r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 xml:space="preserve"> </w:t>
      </w:r>
      <w:r w:rsidR="001858BD" w:rsidRPr="001858BD"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 xml:space="preserve">usluge </w:t>
      </w:r>
      <w:r w:rsidR="001001AE"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>periodičnih</w:t>
      </w:r>
      <w:r w:rsidR="001858BD"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 xml:space="preserve"> i preventivnih</w:t>
      </w:r>
      <w:r w:rsidR="00D62922"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 xml:space="preserve"> pregleda</w:t>
      </w:r>
    </w:p>
    <w:p w:rsidR="00821D6C" w:rsidRPr="00821D6C" w:rsidRDefault="00821D6C" w:rsidP="00821D6C">
      <w:pPr>
        <w:spacing w:after="0" w:line="240" w:lineRule="auto"/>
        <w:ind w:left="2160" w:firstLine="720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 xml:space="preserve">       I PODACI O PONUĐAČU</w:t>
      </w:r>
    </w:p>
    <w:p w:rsidR="00821D6C" w:rsidRPr="00821D6C" w:rsidRDefault="00821D6C" w:rsidP="00821D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821D6C" w:rsidRPr="00821D6C" w:rsidTr="00821D6C">
        <w:trPr>
          <w:trHeight w:val="61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  <w:t>PONUĐAČ</w:t>
            </w:r>
          </w:p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  <w:t>(Poslovno ime ili skraćeni naziv iz odgovarajućeg registra)</w:t>
            </w:r>
            <w:r w:rsidRPr="00821D6C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 xml:space="preserve">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821D6C" w:rsidRPr="00821D6C" w:rsidTr="00821D6C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821D6C" w:rsidRPr="00821D6C" w:rsidTr="00821D6C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821D6C" w:rsidRPr="00821D6C" w:rsidTr="00821D6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6C" w:rsidRPr="00821D6C" w:rsidRDefault="00821D6C" w:rsidP="00821D6C">
            <w:pPr>
              <w:spacing w:after="0"/>
              <w:ind w:right="122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  <w:t>Lice ovlašćeno za potpisivanje  ugovora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821D6C" w:rsidRPr="00821D6C" w:rsidTr="00821D6C"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Osoba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Telefon/faks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e-mail: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Telefaks: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Tekući r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821D6C" w:rsidRPr="00821D6C" w:rsidTr="00821D6C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  <w:t>Registarski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Šifra delatnosti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PIB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</w:tbl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>II NAVESTI PODATKE O TOME DA LI SE PONUDA PODNOSI SAMOSTALNO ILI KAO ZAJEDNIČKA PONUDA ILI SA PODIZVOĐAČEM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1. Samostalno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2. Sa podizvođačem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____________________________________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______________________________________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(upisati osnovne podatke o podizvođaču)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3. Kao zajedničku ponudu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______________________________________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______________________________________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(upisati osnovne podatke o zajedničkim ponuđačima)</w:t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 xml:space="preserve">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 xml:space="preserve">III ROK VAŽENJA PONUDE IZRAŽEN U BROJU DANA OD DANA OTVARANJA PONUDE JE______DANA (ne može biti kraći od 60 dana)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p w:rsidR="00821D6C" w:rsidRPr="00821D6C" w:rsidRDefault="00821D6C" w:rsidP="00821D6C">
      <w:pPr>
        <w:spacing w:after="0" w:line="240" w:lineRule="auto"/>
        <w:ind w:left="2160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        IV   PODACI O PODIZVOĐAČU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821D6C" w:rsidRPr="00821D6C" w:rsidTr="00821D6C">
        <w:trPr>
          <w:trHeight w:val="328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lang w:val="sr-Cyrl-CS" w:eastAsia="sr-Latn-CS"/>
              </w:rPr>
              <w:t>Poslovno ime podizvođača/podisporučio</w:t>
            </w:r>
            <w:r w:rsidRPr="00821D6C">
              <w:rPr>
                <w:rFonts w:ascii="Times New Roman" w:eastAsia="Calibri" w:hAnsi="Times New Roman" w:cs="Times New Roman"/>
                <w:b/>
                <w:bCs/>
                <w:lang w:val="sr-Latn-CS" w:eastAsia="sr-Latn-CS"/>
              </w:rPr>
              <w:t>c</w:t>
            </w:r>
            <w:r w:rsidRPr="00821D6C">
              <w:rPr>
                <w:rFonts w:ascii="Times New Roman" w:eastAsia="Calibri" w:hAnsi="Times New Roman" w:cs="Times New Roman"/>
                <w:b/>
                <w:bCs/>
                <w:lang w:val="sr-Cyrl-CS" w:eastAsia="sr-Latn-CS"/>
              </w:rPr>
              <w:t>a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821D6C" w:rsidRPr="00821D6C" w:rsidTr="00821D6C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  <w:t xml:space="preserve">             </w:t>
            </w:r>
          </w:p>
        </w:tc>
      </w:tr>
      <w:tr w:rsidR="00821D6C" w:rsidRPr="00821D6C" w:rsidTr="00821D6C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821D6C" w:rsidRPr="00821D6C" w:rsidTr="00821D6C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821D6C" w:rsidRPr="00821D6C" w:rsidTr="00821D6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Zakonski zastupnik/</w:t>
            </w:r>
          </w:p>
          <w:p w:rsidR="00821D6C" w:rsidRPr="00821D6C" w:rsidRDefault="00821D6C" w:rsidP="00821D6C">
            <w:pPr>
              <w:spacing w:after="0"/>
              <w:ind w:right="122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Odgovorno lice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821D6C" w:rsidRPr="00821D6C" w:rsidTr="00821D6C"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Lice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Telefon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e-mail: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Telefaks: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Tekući r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821D6C" w:rsidRPr="00821D6C" w:rsidTr="00821D6C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Registracioni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Šifra delatnosti               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Poreski 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indetifikacioni</w:t>
            </w:r>
          </w:p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broj podizvođača/</w:t>
            </w:r>
          </w:p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 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112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Procenat u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kupne vrednosti nabavke koji će se poveriti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r-Latn-CS"/>
              </w:rPr>
              <w:t xml:space="preserve"> </w:t>
            </w:r>
          </w:p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podizvođač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u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/podisporučioc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u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r-Latn-CS"/>
              </w:rPr>
              <w:t xml:space="preserve"> </w:t>
            </w:r>
          </w:p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u predmetnoj javnoj nabavci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                                     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</w:t>
            </w:r>
          </w:p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     __________%</w:t>
            </w:r>
          </w:p>
        </w:tc>
      </w:tr>
      <w:tr w:rsidR="00821D6C" w:rsidRPr="00821D6C" w:rsidTr="00821D6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Deo predmeta nabavke koji se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vrši preko </w:t>
            </w:r>
          </w:p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podizvođača/podisporučioca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</w:tbl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NAPOMENE: </w:t>
      </w:r>
    </w:p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lastRenderedPageBreak/>
        <w:t xml:space="preserve">- Ukoliko će izvršenje nabavke delimično biti povereno većem broju podizvođača/ podisporučioca, obrazac kopirati u dovoljnom broju primeraka. </w:t>
      </w:r>
    </w:p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>- Obavezno upisati procenat učešća podizvođača/podisporučioca u predmetnoj nabavci i deo predmeta nabavke koji se vrši preko podizvođača/podisporučioca.</w:t>
      </w:r>
    </w:p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- Ukoliko ponuđač ne namerava da izvršenje dela predmeta javne nabavke delimično poveri podizvođaču/podisporučioca, ovaj obrazac ne treba popunjavati.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</w:p>
    <w:p w:rsidR="00821D6C" w:rsidRPr="00821D6C" w:rsidRDefault="00821D6C" w:rsidP="00821D6C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                                                              </w:t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______________________</w:t>
      </w:r>
    </w:p>
    <w:p w:rsidR="00821D6C" w:rsidRPr="00821D6C" w:rsidRDefault="00821D6C" w:rsidP="00821D6C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                                                                                            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(potpis ovlašćenog lica</w:t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ponuđača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)</w:t>
      </w:r>
    </w:p>
    <w:p w:rsidR="00821D6C" w:rsidRPr="00821D6C" w:rsidRDefault="00821D6C" w:rsidP="00821D6C">
      <w:pPr>
        <w:spacing w:after="0" w:line="240" w:lineRule="auto"/>
        <w:ind w:left="1440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>V      PODACI O ČLANU GRUPE PONUĐAČA</w:t>
      </w:r>
    </w:p>
    <w:p w:rsidR="00821D6C" w:rsidRPr="00821D6C" w:rsidRDefault="00821D6C" w:rsidP="00821D6C">
      <w:pPr>
        <w:spacing w:after="0" w:line="240" w:lineRule="auto"/>
        <w:ind w:left="1440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821D6C" w:rsidRPr="00821D6C" w:rsidTr="00821D6C">
        <w:trPr>
          <w:trHeight w:val="664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Poslovno ime 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člana </w:t>
            </w:r>
          </w:p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grupe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821D6C" w:rsidRPr="00821D6C" w:rsidTr="00821D6C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821D6C" w:rsidRPr="00821D6C" w:rsidTr="00821D6C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821D6C" w:rsidRPr="00821D6C" w:rsidTr="00821D6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Zakonski zastupnik/</w:t>
            </w:r>
          </w:p>
          <w:p w:rsidR="00821D6C" w:rsidRPr="00821D6C" w:rsidRDefault="00821D6C" w:rsidP="00821D6C">
            <w:pPr>
              <w:spacing w:after="0"/>
              <w:ind w:right="122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 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Odgovorno lice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821D6C" w:rsidRPr="00821D6C" w:rsidTr="00821D6C"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Osoba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Telefon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e-mail: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Telefaks: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Tekući r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821D6C" w:rsidRPr="00821D6C" w:rsidTr="00821D6C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Registarski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Šifra delatnosti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Poreski 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indetifikacioni</w:t>
            </w:r>
          </w:p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broj podizvođača/</w:t>
            </w:r>
          </w:p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</w:tbl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NAPOMENA: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- Obrazac kopirati ukoliko ponudu dostavlja veći broj članova grupe.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- Ukoliko ponudu ne podnosi grupa ponuđača, ovaj obrazac ne treba popunjavati.</w:t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   </w:t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  <w:t xml:space="preserve">                                                                </w:t>
      </w:r>
    </w:p>
    <w:p w:rsidR="00821D6C" w:rsidRPr="00821D6C" w:rsidRDefault="00821D6C" w:rsidP="00821D6C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                                                              </w:t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______________________</w:t>
      </w:r>
    </w:p>
    <w:p w:rsidR="00821D6C" w:rsidRPr="00821D6C" w:rsidRDefault="00821D6C" w:rsidP="00821D6C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                                                                                           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(potpis ovlašćenog lica</w:t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ponuđača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)</w:t>
      </w:r>
    </w:p>
    <w:p w:rsidR="00821D6C" w:rsidRPr="002A613B" w:rsidRDefault="00821D6C" w:rsidP="007D616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</w:p>
    <w:p w:rsidR="00175443" w:rsidRPr="00175443" w:rsidRDefault="00175443" w:rsidP="00175443">
      <w:pPr>
        <w:framePr w:h="1560" w:hRule="exact" w:hSpace="180" w:wrap="auto" w:vAnchor="text" w:hAnchor="page" w:x="2017" w:y="1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noProof/>
          <w:lang w:eastAsia="sr-Latn-RS"/>
        </w:rPr>
        <w:drawing>
          <wp:inline distT="0" distB="0" distL="0" distR="0">
            <wp:extent cx="883920" cy="929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13B" w:rsidRPr="002A613B" w:rsidRDefault="002A613B" w:rsidP="002A61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175443" w:rsidRPr="00175443" w:rsidRDefault="00175443" w:rsidP="001754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de-DE"/>
        </w:rPr>
      </w:pPr>
      <w:r w:rsidRPr="00175443">
        <w:rPr>
          <w:rFonts w:ascii="Times New Roman" w:eastAsia="Times New Roman" w:hAnsi="Times New Roman" w:cs="Times New Roman"/>
          <w:b/>
          <w:lang w:val="de-DE"/>
        </w:rPr>
        <w:t>INSTITUT ZA NEONATOLOGIJU</w:t>
      </w:r>
    </w:p>
    <w:p w:rsidR="00175443" w:rsidRPr="00175443" w:rsidRDefault="00175443" w:rsidP="001754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de-DE"/>
        </w:rPr>
      </w:pPr>
      <w:r w:rsidRPr="00175443">
        <w:rPr>
          <w:rFonts w:ascii="Times New Roman" w:eastAsia="Times New Roman" w:hAnsi="Times New Roman" w:cs="Times New Roman"/>
          <w:b/>
          <w:i/>
          <w:lang w:val="de-DE"/>
        </w:rPr>
        <w:t>BEOGRAD, Kralja Milutina br.50</w:t>
      </w:r>
    </w:p>
    <w:p w:rsidR="00D023B6" w:rsidRDefault="00D023B6" w:rsidP="00175443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val="de-DE" w:eastAsia="sl-SI"/>
        </w:rPr>
      </w:pPr>
    </w:p>
    <w:p w:rsidR="00842024" w:rsidRDefault="00842024" w:rsidP="00175443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val="de-DE" w:eastAsia="sl-SI"/>
        </w:rPr>
      </w:pPr>
    </w:p>
    <w:p w:rsidR="00842024" w:rsidRDefault="00842024" w:rsidP="001754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r-Latn-CS"/>
        </w:rPr>
      </w:pPr>
    </w:p>
    <w:p w:rsidR="007D616F" w:rsidRPr="007D616F" w:rsidRDefault="007D616F" w:rsidP="007D616F">
      <w:pPr>
        <w:suppressAutoHyphens/>
        <w:spacing w:after="0" w:line="100" w:lineRule="atLeast"/>
        <w:jc w:val="both"/>
        <w:rPr>
          <w:rFonts w:ascii="Arial" w:eastAsia="Arial Unicode MS" w:hAnsi="Arial" w:cs="Arial"/>
          <w:b/>
          <w:bCs/>
          <w:i/>
          <w:iCs/>
          <w:color w:val="000000"/>
          <w:kern w:val="1"/>
          <w:sz w:val="20"/>
          <w:szCs w:val="20"/>
          <w:lang w:eastAsia="ar-SA"/>
        </w:rPr>
      </w:pPr>
    </w:p>
    <w:p w:rsidR="007D616F" w:rsidRPr="007D616F" w:rsidRDefault="007D616F" w:rsidP="007D616F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sr-Cyrl-RS" w:eastAsia="ar-SA"/>
        </w:rPr>
      </w:pPr>
      <w:r w:rsidRPr="007D616F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sr-Cyrl-RS" w:eastAsia="ar-SA"/>
        </w:rPr>
        <w:t>O</w:t>
      </w:r>
      <w:r w:rsidRPr="007D616F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BRAZAC </w:t>
      </w:r>
      <w:r w:rsidRPr="007D616F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sr-Cyrl-RS" w:eastAsia="ar-SA"/>
        </w:rPr>
        <w:t>STRUKTURE PONUĐENE CENE</w:t>
      </w:r>
    </w:p>
    <w:p w:rsidR="007D616F" w:rsidRPr="007D616F" w:rsidRDefault="007D616F" w:rsidP="007D616F">
      <w:pPr>
        <w:suppressAutoHyphens/>
        <w:spacing w:after="0" w:line="100" w:lineRule="atLeast"/>
        <w:jc w:val="both"/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1858BD" w:rsidRDefault="007D616F" w:rsidP="001858BD">
      <w:pPr>
        <w:rPr>
          <w:rFonts w:ascii="Times New Roman" w:eastAsia="Times New Roman" w:hAnsi="Times New Roman" w:cs="Times New Roman"/>
          <w:bCs/>
          <w:sz w:val="24"/>
          <w:szCs w:val="24"/>
          <w:lang w:val="sl-SI" w:eastAsia="sr-Latn-CS"/>
        </w:rPr>
      </w:pPr>
      <w:r w:rsidRPr="007D616F">
        <w:rPr>
          <w:rFonts w:ascii="Times New Roman" w:eastAsia="Times New Roman" w:hAnsi="Times New Roman" w:cs="Times New Roman"/>
          <w:bCs/>
          <w:sz w:val="24"/>
          <w:szCs w:val="24"/>
          <w:lang w:val="sl-SI" w:eastAsia="sr-Latn-CS"/>
        </w:rPr>
        <w:t xml:space="preserve"> </w:t>
      </w:r>
      <w:bookmarkStart w:id="0" w:name="_Hlk51763201"/>
      <w:r w:rsidRPr="007D616F">
        <w:rPr>
          <w:rFonts w:ascii="Times New Roman" w:eastAsia="Times New Roman" w:hAnsi="Times New Roman" w:cs="Times New Roman"/>
          <w:bCs/>
          <w:sz w:val="24"/>
          <w:szCs w:val="24"/>
          <w:lang w:val="sl-SI" w:eastAsia="sr-Latn-CS"/>
        </w:rPr>
        <w:t>Nabavka</w:t>
      </w:r>
      <w:r w:rsidR="00095D9C">
        <w:rPr>
          <w:rFonts w:ascii="Times New Roman" w:eastAsia="Times New Roman" w:hAnsi="Times New Roman" w:cs="Times New Roman"/>
          <w:bCs/>
          <w:sz w:val="24"/>
          <w:szCs w:val="24"/>
          <w:lang w:val="sl-SI" w:eastAsia="sr-Latn-CS"/>
        </w:rPr>
        <w:t xml:space="preserve"> </w:t>
      </w:r>
      <w:r w:rsidR="0010059C" w:rsidRPr="0010059C">
        <w:rPr>
          <w:rFonts w:ascii="Times New Roman" w:eastAsia="Times New Roman" w:hAnsi="Times New Roman" w:cs="Times New Roman"/>
          <w:bCs/>
          <w:sz w:val="24"/>
          <w:szCs w:val="24"/>
          <w:lang w:val="sl-SI" w:eastAsia="sr-Latn-CS"/>
        </w:rPr>
        <w:t xml:space="preserve">usluge </w:t>
      </w:r>
      <w:r w:rsidR="001001AE">
        <w:rPr>
          <w:rFonts w:ascii="Times New Roman" w:eastAsia="Times New Roman" w:hAnsi="Times New Roman" w:cs="Times New Roman"/>
          <w:bCs/>
          <w:sz w:val="24"/>
          <w:szCs w:val="24"/>
          <w:lang w:val="sl-SI" w:eastAsia="sr-Latn-CS"/>
        </w:rPr>
        <w:t xml:space="preserve">periodičnih i </w:t>
      </w:r>
      <w:r w:rsidR="0010059C" w:rsidRPr="0010059C">
        <w:rPr>
          <w:rFonts w:ascii="Times New Roman" w:eastAsia="Times New Roman" w:hAnsi="Times New Roman" w:cs="Times New Roman"/>
          <w:bCs/>
          <w:sz w:val="24"/>
          <w:szCs w:val="24"/>
          <w:lang w:val="sl-SI" w:eastAsia="sr-Latn-CS"/>
        </w:rPr>
        <w:t>preventivnih</w:t>
      </w:r>
      <w:r w:rsidR="00117029">
        <w:rPr>
          <w:rFonts w:ascii="Times New Roman" w:eastAsia="Times New Roman" w:hAnsi="Times New Roman" w:cs="Times New Roman"/>
          <w:bCs/>
          <w:sz w:val="24"/>
          <w:szCs w:val="24"/>
          <w:lang w:val="sl-SI" w:eastAsia="sr-Latn-CS"/>
        </w:rPr>
        <w:t xml:space="preserve"> pregleda</w:t>
      </w:r>
    </w:p>
    <w:tbl>
      <w:tblPr>
        <w:tblW w:w="10562" w:type="dxa"/>
        <w:jc w:val="center"/>
        <w:tblInd w:w="16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3402"/>
        <w:gridCol w:w="1067"/>
        <w:gridCol w:w="1134"/>
        <w:gridCol w:w="1208"/>
        <w:gridCol w:w="1028"/>
        <w:gridCol w:w="877"/>
        <w:gridCol w:w="892"/>
      </w:tblGrid>
      <w:tr w:rsidR="00274044" w:rsidRPr="00766C07" w:rsidTr="00DF03D1">
        <w:trPr>
          <w:trHeight w:val="829"/>
          <w:jc w:val="center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44" w:rsidRPr="00766C07" w:rsidRDefault="00780013" w:rsidP="00CF4B84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eastAsia="sr-Latn-C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eastAsia="sr-Latn-CS"/>
              </w:rPr>
              <w:t>Redni br.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44" w:rsidRPr="00766C07" w:rsidRDefault="00274044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766C07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 xml:space="preserve">Naziv proizvoda </w:t>
            </w:r>
          </w:p>
          <w:p w:rsidR="00274044" w:rsidRPr="00766C07" w:rsidRDefault="001001AE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(Usluge</w:t>
            </w:r>
            <w:r w:rsidR="00274044" w:rsidRPr="00766C07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 xml:space="preserve"> )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044" w:rsidRPr="00766C07" w:rsidRDefault="00274044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766C07">
              <w:rPr>
                <w:rFonts w:ascii="Times New Roman" w:hAnsi="Times New Roman" w:cs="Times New Roman"/>
                <w:lang w:val="sr-Latn-CS"/>
              </w:rPr>
              <w:t>Ukupan broj pregleda na godišnjem nivou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044" w:rsidRPr="00766C07" w:rsidRDefault="00274044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766C07">
              <w:rPr>
                <w:rFonts w:ascii="Times New Roman" w:hAnsi="Times New Roman" w:cs="Times New Roman"/>
                <w:lang w:val="sr-Latn-CS"/>
              </w:rPr>
              <w:t>Period obavljanja pregleda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044" w:rsidRPr="00766C07" w:rsidRDefault="00274044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766C07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 xml:space="preserve">Jedinična cena </w:t>
            </w:r>
            <w:r w:rsidRPr="00766C07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br/>
              <w:t>bez PDV-a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044" w:rsidRPr="00766C07" w:rsidRDefault="00274044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766C07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 xml:space="preserve">Jedinična cena </w:t>
            </w:r>
            <w:r w:rsidRPr="00766C07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br/>
              <w:t>sa PDV-om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044" w:rsidRPr="00766C07" w:rsidRDefault="00274044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766C07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Ukupna cena bez PDV-a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044" w:rsidRPr="00766C07" w:rsidRDefault="00274044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766C07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 xml:space="preserve">Ukupna cena </w:t>
            </w:r>
            <w:r w:rsidRPr="00766C07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br/>
              <w:t>sa PDV-om</w:t>
            </w:r>
          </w:p>
        </w:tc>
      </w:tr>
      <w:tr w:rsidR="00274044" w:rsidRPr="00766C07" w:rsidTr="00C156E4">
        <w:trPr>
          <w:trHeight w:val="101"/>
          <w:jc w:val="center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044" w:rsidRPr="00766C07" w:rsidRDefault="00274044" w:rsidP="00CF4B84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044" w:rsidRPr="00766C07" w:rsidRDefault="00274044" w:rsidP="00CF4B84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044" w:rsidRPr="00766C07" w:rsidRDefault="00274044" w:rsidP="00CF4B84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044" w:rsidRPr="00766C07" w:rsidRDefault="00274044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766C07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044" w:rsidRPr="00766C07" w:rsidRDefault="00274044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766C07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044" w:rsidRPr="00766C07" w:rsidRDefault="00274044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766C07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044" w:rsidRPr="00766C07" w:rsidRDefault="00274044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766C07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 xml:space="preserve">4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044" w:rsidRPr="00766C07" w:rsidRDefault="00274044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 xml:space="preserve">5 </w:t>
            </w:r>
          </w:p>
        </w:tc>
      </w:tr>
      <w:tr w:rsidR="00DF03D1" w:rsidRPr="00766C07" w:rsidTr="00C156E4">
        <w:trPr>
          <w:trHeight w:val="55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3D1" w:rsidRPr="00766C07" w:rsidRDefault="00C156E4" w:rsidP="00CF4B84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bookmarkStart w:id="1" w:name="_Hlk51761348"/>
            <w:r>
              <w:rPr>
                <w:rFonts w:ascii="Times New Roman" w:hAnsi="Times New Roman" w:cs="Times New Roman"/>
                <w:lang w:val="sr-Latn-C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D1" w:rsidRPr="00766C07" w:rsidRDefault="001001AE" w:rsidP="00C156E4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P</w:t>
            </w:r>
            <w:r w:rsidR="00DF03D1" w:rsidRPr="00766C07">
              <w:rPr>
                <w:rFonts w:ascii="Times New Roman" w:hAnsi="Times New Roman" w:cs="Times New Roman"/>
                <w:lang w:val="sr-Latn-CS"/>
              </w:rPr>
              <w:t xml:space="preserve">eriodični lekarski pregled radnika na radnim mestima sa povećanim rizikom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3D1" w:rsidRPr="00766C07" w:rsidRDefault="00C156E4" w:rsidP="00CF4B84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3D1" w:rsidRPr="00766C07" w:rsidRDefault="00DF03D1" w:rsidP="00CF4B84">
            <w:pPr>
              <w:jc w:val="right"/>
              <w:rPr>
                <w:rFonts w:ascii="Times New Roman" w:hAnsi="Times New Roman" w:cs="Times New Roman"/>
                <w:lang w:val="sr-Latn-CS"/>
              </w:rPr>
            </w:pPr>
            <w:r w:rsidRPr="00766C07">
              <w:rPr>
                <w:rFonts w:ascii="Times New Roman" w:hAnsi="Times New Roman" w:cs="Times New Roman"/>
                <w:lang w:val="sr-Latn-CS"/>
              </w:rPr>
              <w:t>1x godišnje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D1" w:rsidRPr="00766C07" w:rsidRDefault="00DF03D1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D1" w:rsidRPr="00766C07" w:rsidRDefault="00DF03D1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D1" w:rsidRPr="00766C07" w:rsidRDefault="00DF03D1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D1" w:rsidRPr="00766C07" w:rsidRDefault="00DF03D1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</w:tr>
      <w:tr w:rsidR="00DF03D1" w:rsidRPr="00766C07" w:rsidTr="00C156E4">
        <w:trPr>
          <w:trHeight w:val="55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3D1" w:rsidRPr="00766C07" w:rsidRDefault="00C156E4" w:rsidP="00CF4B84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D1" w:rsidRPr="00766C07" w:rsidRDefault="00DF03D1" w:rsidP="00CF4B84">
            <w:pPr>
              <w:rPr>
                <w:rFonts w:ascii="Times New Roman" w:hAnsi="Times New Roman" w:cs="Times New Roman"/>
                <w:lang w:val="sr-Latn-CS"/>
              </w:rPr>
            </w:pPr>
            <w:r w:rsidRPr="00766C07">
              <w:rPr>
                <w:rFonts w:ascii="Times New Roman" w:hAnsi="Times New Roman" w:cs="Times New Roman"/>
                <w:lang w:val="sr-Latn-CS"/>
              </w:rPr>
              <w:t>Periodični lekarski pregled radnika na radnom mestu vozača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3D1" w:rsidRPr="00766C07" w:rsidRDefault="00DF03D1" w:rsidP="00CF4B84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766C07">
              <w:rPr>
                <w:rFonts w:ascii="Times New Roman" w:hAnsi="Times New Roman" w:cs="Times New Roman"/>
                <w:lang w:val="sr-Latn-C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3D1" w:rsidRPr="00766C07" w:rsidRDefault="00DF03D1" w:rsidP="00CF4B84">
            <w:pPr>
              <w:jc w:val="right"/>
              <w:rPr>
                <w:rFonts w:ascii="Times New Roman" w:hAnsi="Times New Roman" w:cs="Times New Roman"/>
                <w:lang w:val="sr-Latn-CS"/>
              </w:rPr>
            </w:pPr>
            <w:r w:rsidRPr="00766C07">
              <w:rPr>
                <w:rFonts w:ascii="Times New Roman" w:hAnsi="Times New Roman" w:cs="Times New Roman"/>
                <w:lang w:val="sr-Latn-CS"/>
              </w:rPr>
              <w:t>1x godišnje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D1" w:rsidRPr="00766C07" w:rsidRDefault="00DF03D1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D1" w:rsidRPr="00766C07" w:rsidRDefault="00DF03D1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D1" w:rsidRPr="00766C07" w:rsidRDefault="00DF03D1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D1" w:rsidRPr="00766C07" w:rsidRDefault="00DF03D1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</w:tr>
      <w:tr w:rsidR="00DF03D1" w:rsidRPr="00766C07" w:rsidTr="00C156E4">
        <w:trPr>
          <w:trHeight w:val="55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3D1" w:rsidRPr="00766C07" w:rsidRDefault="00C156E4" w:rsidP="00CF4B84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3</w:t>
            </w:r>
            <w:bookmarkStart w:id="2" w:name="_GoBack"/>
            <w:bookmarkEnd w:id="2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D1" w:rsidRPr="00766C07" w:rsidRDefault="00DF03D1" w:rsidP="00CF4B84">
            <w:pPr>
              <w:rPr>
                <w:rFonts w:ascii="Times New Roman" w:hAnsi="Times New Roman" w:cs="Times New Roman"/>
                <w:lang w:val="sr-Latn-CS"/>
              </w:rPr>
            </w:pPr>
            <w:r w:rsidRPr="00766C07">
              <w:rPr>
                <w:rFonts w:ascii="Times New Roman" w:hAnsi="Times New Roman" w:cs="Times New Roman"/>
                <w:lang w:val="sr-Latn-CS"/>
              </w:rPr>
              <w:t xml:space="preserve">Periodični oftalmološki pregled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3D1" w:rsidRPr="00766C07" w:rsidRDefault="00640671" w:rsidP="00CF4B84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3D1" w:rsidRPr="00766C07" w:rsidRDefault="00DF03D1" w:rsidP="00CF4B84">
            <w:pPr>
              <w:jc w:val="right"/>
              <w:rPr>
                <w:rFonts w:ascii="Times New Roman" w:hAnsi="Times New Roman" w:cs="Times New Roman"/>
                <w:lang w:val="sr-Latn-CS"/>
              </w:rPr>
            </w:pPr>
            <w:r w:rsidRPr="00766C07">
              <w:rPr>
                <w:rFonts w:ascii="Times New Roman" w:hAnsi="Times New Roman" w:cs="Times New Roman"/>
                <w:lang w:val="sr-Latn-CS"/>
              </w:rPr>
              <w:t>1x godišnje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D1" w:rsidRPr="00766C07" w:rsidRDefault="00DF03D1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D1" w:rsidRPr="00766C07" w:rsidRDefault="00DF03D1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D1" w:rsidRPr="00766C07" w:rsidRDefault="00DF03D1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D1" w:rsidRPr="00766C07" w:rsidRDefault="00DF03D1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</w:tr>
      <w:bookmarkEnd w:id="1"/>
    </w:tbl>
    <w:p w:rsidR="008B4E1B" w:rsidRDefault="008B4E1B" w:rsidP="00AE2F53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l-SI" w:eastAsia="sr-Latn-CS"/>
        </w:rPr>
      </w:pPr>
    </w:p>
    <w:bookmarkEnd w:id="0"/>
    <w:p w:rsidR="00387E50" w:rsidRDefault="00387E50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0"/>
          <w:szCs w:val="20"/>
          <w:lang w:eastAsia="ar-SA"/>
        </w:rPr>
      </w:pP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0"/>
          <w:szCs w:val="20"/>
          <w:lang w:eastAsia="ar-SA"/>
        </w:rPr>
      </w:pPr>
      <w:r w:rsidRPr="007D616F"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0"/>
          <w:szCs w:val="20"/>
          <w:lang w:eastAsia="ar-SA"/>
        </w:rPr>
        <w:t>Uputstvo za popunjavanje obrasca strukture cene:</w:t>
      </w: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Privredni subjekt treba da popuni obrazac strukture cene na sledeći način: </w:t>
      </w: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sym w:font="Symbol" w:char="F0A7"/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u koloni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2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. upisati koliko iznosi jedinična cena bez PDV-a, za traženi predmet javne nabavke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.</w:t>
      </w: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sym w:font="Symbol" w:char="F0A7"/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u koloni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3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. upisati koliko iznosi jedinična cena sa PDV-om, za traženi predmet javne nabavke</w:t>
      </w: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sym w:font="Symbol" w:char="F0A7"/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u koloni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4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. upisati koliko iznosi ukupna cena bez PDV-a za traženi predmet javne nabavke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 xml:space="preserve">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i to tako što će pomnožiti jediničnu cenu bez PDV-a (navedenu u koloni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2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.) sa traženim količinama; Na kraju upisati ukupnu cenu predmeta nabavke bez PDV-a.</w:t>
      </w: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sym w:font="Symbol" w:char="F0A7"/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u koloni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5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. upisati koliko iznosi ukupna cena sa PDV-om za traženi predmet javne nabavke i to tako što će pomnožiti jediničnu cenu sa PDV-om (navedenu u koloni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3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.) sa traženim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 xml:space="preserve"> količinama</w:t>
      </w: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Na kraju upisati ukupnu cenu predmeta nabavke sa PDV-om. </w:t>
      </w: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sym w:font="Symbol" w:char="F0A7"/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U redu “Ukupna cena bez PDV-a” upisati zbir ukupnih cena iz kolone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4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. za traženi predmet javne nabavke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.</w:t>
      </w: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sym w:font="Symbol" w:char="F0A7"/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U redu “Iznos PDV-a” upisati ukupan iznos PDV-a za traženi predmet javne nabavke</w:t>
      </w: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sym w:font="Symbol" w:char="F0A7"/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U redu “Ukupna cena sa PDV-om” upisati zbir ukupnih cena iz kolone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5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. za traženi predmet javne nabavke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.</w:t>
      </w:r>
    </w:p>
    <w:p w:rsidR="00F829CF" w:rsidRDefault="00F829CF" w:rsidP="00F829CF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</w:pPr>
    </w:p>
    <w:p w:rsidR="00F829CF" w:rsidRPr="007D616F" w:rsidRDefault="00F829CF" w:rsidP="00F829CF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</w:pP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 xml:space="preserve">Napomena: Obrazac 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 xml:space="preserve">ponuđač 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 xml:space="preserve"> mora da popuni, čime potvrđuje da su tačni podaci koji su u obrascu navedeni. Ukoliko privredni subjekti podnose zajedničku ponudu, grupa privredni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h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 xml:space="preserve"> subjek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a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>ta može da se opredeli da obrazac potpisuju svi privredni subjekti iz grupe privredni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h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 xml:space="preserve"> subjek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a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>ta ili grupa privredni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h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 xml:space="preserve"> subjek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a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>ta može da odredi jednog privred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nog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 xml:space="preserve"> subjekta iz grupe koji će popuniti obraz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.</w:t>
      </w:r>
    </w:p>
    <w:p w:rsidR="00F829CF" w:rsidRPr="00D023B6" w:rsidRDefault="00F829CF" w:rsidP="00F829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r-Latn-CS"/>
        </w:rPr>
      </w:pPr>
    </w:p>
    <w:p w:rsidR="004029A8" w:rsidRDefault="004029A8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0"/>
          <w:szCs w:val="20"/>
          <w:lang w:eastAsia="ar-SA"/>
        </w:rPr>
      </w:pPr>
    </w:p>
    <w:sectPr w:rsidR="00402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B5C"/>
    <w:multiLevelType w:val="hybridMultilevel"/>
    <w:tmpl w:val="2EF4B0B4"/>
    <w:lvl w:ilvl="0" w:tplc="1DC67AE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072" w:hanging="360"/>
      </w:pPr>
    </w:lvl>
    <w:lvl w:ilvl="2" w:tplc="241A001B" w:tentative="1">
      <w:start w:val="1"/>
      <w:numFmt w:val="lowerRoman"/>
      <w:lvlText w:val="%3."/>
      <w:lvlJc w:val="right"/>
      <w:pPr>
        <w:ind w:left="2792" w:hanging="180"/>
      </w:pPr>
    </w:lvl>
    <w:lvl w:ilvl="3" w:tplc="241A000F" w:tentative="1">
      <w:start w:val="1"/>
      <w:numFmt w:val="decimal"/>
      <w:lvlText w:val="%4."/>
      <w:lvlJc w:val="left"/>
      <w:pPr>
        <w:ind w:left="3512" w:hanging="360"/>
      </w:pPr>
    </w:lvl>
    <w:lvl w:ilvl="4" w:tplc="241A0019" w:tentative="1">
      <w:start w:val="1"/>
      <w:numFmt w:val="lowerLetter"/>
      <w:lvlText w:val="%5."/>
      <w:lvlJc w:val="left"/>
      <w:pPr>
        <w:ind w:left="4232" w:hanging="360"/>
      </w:pPr>
    </w:lvl>
    <w:lvl w:ilvl="5" w:tplc="241A001B" w:tentative="1">
      <w:start w:val="1"/>
      <w:numFmt w:val="lowerRoman"/>
      <w:lvlText w:val="%6."/>
      <w:lvlJc w:val="right"/>
      <w:pPr>
        <w:ind w:left="4952" w:hanging="180"/>
      </w:pPr>
    </w:lvl>
    <w:lvl w:ilvl="6" w:tplc="241A000F" w:tentative="1">
      <w:start w:val="1"/>
      <w:numFmt w:val="decimal"/>
      <w:lvlText w:val="%7."/>
      <w:lvlJc w:val="left"/>
      <w:pPr>
        <w:ind w:left="5672" w:hanging="360"/>
      </w:pPr>
    </w:lvl>
    <w:lvl w:ilvl="7" w:tplc="241A0019" w:tentative="1">
      <w:start w:val="1"/>
      <w:numFmt w:val="lowerLetter"/>
      <w:lvlText w:val="%8."/>
      <w:lvlJc w:val="left"/>
      <w:pPr>
        <w:ind w:left="6392" w:hanging="360"/>
      </w:pPr>
    </w:lvl>
    <w:lvl w:ilvl="8" w:tplc="241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196903E6"/>
    <w:multiLevelType w:val="hybridMultilevel"/>
    <w:tmpl w:val="1C9E583E"/>
    <w:lvl w:ilvl="0" w:tplc="4A90E948">
      <w:start w:val="1"/>
      <w:numFmt w:val="decimal"/>
      <w:lvlText w:val="(%1)"/>
      <w:lvlJc w:val="left"/>
      <w:pPr>
        <w:ind w:left="135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">
    <w:nsid w:val="5ED01D24"/>
    <w:multiLevelType w:val="hybridMultilevel"/>
    <w:tmpl w:val="C7E29B64"/>
    <w:lvl w:ilvl="0" w:tplc="88A807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13B"/>
    <w:rsid w:val="00095D9C"/>
    <w:rsid w:val="001001AE"/>
    <w:rsid w:val="0010059C"/>
    <w:rsid w:val="001057D7"/>
    <w:rsid w:val="00117029"/>
    <w:rsid w:val="00165017"/>
    <w:rsid w:val="00175443"/>
    <w:rsid w:val="001858BD"/>
    <w:rsid w:val="001865FA"/>
    <w:rsid w:val="0020442C"/>
    <w:rsid w:val="002578AE"/>
    <w:rsid w:val="0026450E"/>
    <w:rsid w:val="00274044"/>
    <w:rsid w:val="002A613B"/>
    <w:rsid w:val="002F0E48"/>
    <w:rsid w:val="00387E50"/>
    <w:rsid w:val="003A0991"/>
    <w:rsid w:val="003A14E6"/>
    <w:rsid w:val="003E7B32"/>
    <w:rsid w:val="004029A8"/>
    <w:rsid w:val="004342D3"/>
    <w:rsid w:val="00583FB9"/>
    <w:rsid w:val="005857F8"/>
    <w:rsid w:val="005A5A8E"/>
    <w:rsid w:val="00640671"/>
    <w:rsid w:val="006447EA"/>
    <w:rsid w:val="00743131"/>
    <w:rsid w:val="007650F9"/>
    <w:rsid w:val="00780013"/>
    <w:rsid w:val="007D616F"/>
    <w:rsid w:val="00821D6C"/>
    <w:rsid w:val="00842024"/>
    <w:rsid w:val="008B4E1B"/>
    <w:rsid w:val="00977710"/>
    <w:rsid w:val="00985E9A"/>
    <w:rsid w:val="00AA738E"/>
    <w:rsid w:val="00AE2F53"/>
    <w:rsid w:val="00B36AB8"/>
    <w:rsid w:val="00C156E4"/>
    <w:rsid w:val="00C66AE1"/>
    <w:rsid w:val="00CB3567"/>
    <w:rsid w:val="00CF20CE"/>
    <w:rsid w:val="00D023B6"/>
    <w:rsid w:val="00D311E7"/>
    <w:rsid w:val="00D62922"/>
    <w:rsid w:val="00D77609"/>
    <w:rsid w:val="00DE1645"/>
    <w:rsid w:val="00DE6196"/>
    <w:rsid w:val="00DF03D1"/>
    <w:rsid w:val="00E86BA8"/>
    <w:rsid w:val="00E872E3"/>
    <w:rsid w:val="00E95E17"/>
    <w:rsid w:val="00F67674"/>
    <w:rsid w:val="00F829CF"/>
    <w:rsid w:val="00FB050D"/>
    <w:rsid w:val="00FD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4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5443"/>
    <w:pPr>
      <w:ind w:left="720"/>
      <w:contextualSpacing/>
    </w:pPr>
  </w:style>
  <w:style w:type="paragraph" w:styleId="NoSpacing">
    <w:name w:val="No Spacing"/>
    <w:uiPriority w:val="1"/>
    <w:qFormat/>
    <w:rsid w:val="003E7B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4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5443"/>
    <w:pPr>
      <w:ind w:left="720"/>
      <w:contextualSpacing/>
    </w:pPr>
  </w:style>
  <w:style w:type="paragraph" w:styleId="NoSpacing">
    <w:name w:val="No Spacing"/>
    <w:uiPriority w:val="1"/>
    <w:qFormat/>
    <w:rsid w:val="003E7B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19911-0E20-423B-B0F9-CD3E38FD9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4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KadVR</dc:creator>
  <cp:lastModifiedBy>Javne Nabavke</cp:lastModifiedBy>
  <cp:revision>54</cp:revision>
  <cp:lastPrinted>2023-03-30T11:29:00Z</cp:lastPrinted>
  <dcterms:created xsi:type="dcterms:W3CDTF">2020-09-02T06:44:00Z</dcterms:created>
  <dcterms:modified xsi:type="dcterms:W3CDTF">2023-05-18T07:54:00Z</dcterms:modified>
</cp:coreProperties>
</file>