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3B" w:rsidRDefault="002A613B" w:rsidP="007D616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-----------------------------------------------</w:t>
      </w:r>
    </w:p>
    <w:p w:rsidR="00821D6C" w:rsidRPr="00821D6C" w:rsidRDefault="00821D6C" w:rsidP="00821D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 (Naziv ponuđača)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Br:__________________________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Datum:_______________________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21D6C" w:rsidRPr="00821D6C" w:rsidRDefault="00821D6C" w:rsidP="00821D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Obrazac</w:t>
      </w:r>
    </w:p>
    <w:p w:rsidR="00821D6C" w:rsidRPr="00821D6C" w:rsidRDefault="00821D6C" w:rsidP="00821D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l-SI" w:eastAsia="sr-Latn-CS"/>
        </w:rPr>
        <w:t>P O N U D E</w:t>
      </w:r>
    </w:p>
    <w:p w:rsidR="00821D6C" w:rsidRPr="00821D6C" w:rsidRDefault="00821D6C" w:rsidP="002D31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PREDMET: </w:t>
      </w:r>
      <w:r w:rsidRPr="00821D6C">
        <w:rPr>
          <w:rFonts w:ascii="Times New Roman" w:eastAsia="Calibri" w:hAnsi="Times New Roman" w:cs="Times New Roman"/>
          <w:b/>
          <w:sz w:val="24"/>
          <w:szCs w:val="24"/>
          <w:lang w:val="sr-Cyrl-CS" w:eastAsia="sr-Latn-CS"/>
        </w:rPr>
        <w:t>za nabavku</w:t>
      </w:r>
      <w:r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 </w:t>
      </w:r>
      <w:r w:rsidR="002D31BC" w:rsidRPr="002D31BC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>usluge ispitivanja parametara izvora zračenja za potrebe kontrole kvaliteta mera zaštite od jonizujućeg zračenja</w:t>
      </w:r>
      <w:r w:rsidR="00D6381D" w:rsidRPr="00D6381D">
        <w:t xml:space="preserve"> </w:t>
      </w:r>
      <w:r w:rsidR="00D6381D" w:rsidRPr="00D6381D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>u Odseku za radiološku,</w:t>
      </w:r>
      <w:r w:rsidR="00D6381D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 ultrazvučnu i EEG dijagnostiku</w:t>
      </w:r>
    </w:p>
    <w:p w:rsidR="00821D6C" w:rsidRPr="00821D6C" w:rsidRDefault="00821D6C" w:rsidP="00821D6C">
      <w:pPr>
        <w:spacing w:after="0" w:line="240" w:lineRule="auto"/>
        <w:ind w:left="2160" w:firstLine="720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 xml:space="preserve">       I PODACI O PONUĐAČU</w:t>
      </w:r>
    </w:p>
    <w:p w:rsidR="00821D6C" w:rsidRPr="00821D6C" w:rsidRDefault="00821D6C" w:rsidP="00821D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821D6C" w:rsidRPr="00821D6C" w:rsidTr="00821D6C">
        <w:trPr>
          <w:trHeight w:val="6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PONUĐAČ</w:t>
            </w:r>
          </w:p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(Poslovno ime ili skraćeni naziv iz odgovarajućeg registra)</w:t>
            </w:r>
            <w:r w:rsidRPr="00821D6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 xml:space="preserve">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821D6C" w:rsidRPr="00821D6C" w:rsidTr="00821D6C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ind w:right="122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Lice ovlašćeno za potpisivanje  ugovora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Telefon/faks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PIB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II NAVESTI PODATKE O TOME DA LI SE PONUDA PODNOSI SAMOSTALNO ILI KAO ZAJEDNIČKA PONUDA ILI SA PODIZVOĐAČEM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1. Samostalno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2. Sa podizvođačem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lastRenderedPageBreak/>
        <w:t xml:space="preserve">(upisati osnovne podatke o podizvođaču)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3. Kao zajedničku ponudu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(upisati osnovne podatke o zajedničkim ponuđačima)</w:t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 xml:space="preserve">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 xml:space="preserve">III ROK VAŽENJA PONUDE IZRAŽEN U BROJU DANA OD DANA OTVARANJA PONUDE JE______DANA (ne može biti kraći od 60 dana)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21D6C" w:rsidRPr="00821D6C" w:rsidRDefault="00821D6C" w:rsidP="00821D6C">
      <w:pPr>
        <w:spacing w:after="0" w:line="240" w:lineRule="auto"/>
        <w:ind w:left="216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IV   PODACI O PODIZVOĐAČU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821D6C" w:rsidRPr="00821D6C" w:rsidTr="00821D6C">
        <w:trPr>
          <w:trHeight w:val="32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lang w:val="sr-Cyrl-CS" w:eastAsia="sr-Latn-CS"/>
              </w:rPr>
              <w:t>Poslovno ime podizvođača/podisporučio</w:t>
            </w:r>
            <w:r w:rsidRPr="00821D6C">
              <w:rPr>
                <w:rFonts w:ascii="Times New Roman" w:eastAsia="Calibri" w:hAnsi="Times New Roman" w:cs="Times New Roman"/>
                <w:b/>
                <w:bCs/>
                <w:lang w:val="sr-Latn-CS" w:eastAsia="sr-Latn-CS"/>
              </w:rPr>
              <w:t>c</w:t>
            </w:r>
            <w:r w:rsidRPr="00821D6C">
              <w:rPr>
                <w:rFonts w:ascii="Times New Roman" w:eastAsia="Calibri" w:hAnsi="Times New Roman" w:cs="Times New Roman"/>
                <w:b/>
                <w:bCs/>
                <w:lang w:val="sr-Cyrl-CS" w:eastAsia="sr-Latn-CS"/>
              </w:rPr>
              <w:t>a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821D6C" w:rsidRPr="00821D6C" w:rsidTr="00821D6C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 xml:space="preserve">             </w:t>
            </w: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Zakonski zastupnik/</w:t>
            </w:r>
          </w:p>
          <w:p w:rsidR="00821D6C" w:rsidRPr="00821D6C" w:rsidRDefault="00821D6C" w:rsidP="00821D6C">
            <w:pPr>
              <w:spacing w:after="0"/>
              <w:ind w:right="122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Lice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e-mail: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Telefaks: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Registracioni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Poreski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indetifikacioni</w:t>
            </w: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broj podizvođača/</w:t>
            </w: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 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11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Procenat 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kupne vrednosti nabavke koji će se poveriti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podizvođač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/podisporučioc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 predmetnoj javnoj nabavci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</w:t>
            </w: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    __________%</w:t>
            </w: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Deo predmeta nabavke koji se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vrši preko </w:t>
            </w: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podizvođača/podisporučioca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NAPOMENE: 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lastRenderedPageBreak/>
        <w:t xml:space="preserve">- Ukoliko će izvršenje nabavke delimično biti povereno većem broju podizvođača/ podisporučioca, obrazac kopirati u dovoljnom broju primeraka. 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- Obavezno upisati procenat učešća podizvođača/podisporučioca u predmetnoj nabavci i deo predmeta nabavke koji se vrši preko podizvođača/podisporučioca.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- Ukoliko ponuđač ne namerava da izvršenje dela predmeta javne nabavke delimično poveri podizvođaču/podisporučioca, ovaj obrazac ne treba popunjavati.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</w:p>
    <w:p w:rsidR="00821D6C" w:rsidRPr="00821D6C" w:rsidRDefault="00821D6C" w:rsidP="00821D6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</w:t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821D6C" w:rsidRPr="00821D6C" w:rsidRDefault="00821D6C" w:rsidP="00821D6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(potpis ovlašćenog lica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ponuđača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)</w:t>
      </w:r>
    </w:p>
    <w:p w:rsidR="00821D6C" w:rsidRPr="00821D6C" w:rsidRDefault="00821D6C" w:rsidP="00821D6C">
      <w:pPr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>V      PODACI O ČLANU GRUPE PONUĐAČA</w:t>
      </w:r>
    </w:p>
    <w:p w:rsidR="00821D6C" w:rsidRPr="00821D6C" w:rsidRDefault="00821D6C" w:rsidP="00821D6C">
      <w:pPr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821D6C" w:rsidRPr="00821D6C" w:rsidTr="00821D6C">
        <w:trPr>
          <w:trHeight w:val="66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Poslovno ime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člana 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grupe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821D6C" w:rsidRPr="00821D6C" w:rsidTr="00821D6C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Zakonski zastupnik/</w:t>
            </w:r>
          </w:p>
          <w:p w:rsidR="00821D6C" w:rsidRPr="00821D6C" w:rsidRDefault="00821D6C" w:rsidP="00821D6C">
            <w:pPr>
              <w:spacing w:after="0"/>
              <w:ind w:right="122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Poreski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indetifikacioni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broj podizvođača/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NAPOMENA: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- Obrazac kopirati ukoliko ponudu dostavlja veći broj članova grupe.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- Ukoliko ponudu ne podnosi grupa ponuđača, ovaj obrazac ne treba popunjavati.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  <w:t xml:space="preserve">                                                                </w:t>
      </w:r>
    </w:p>
    <w:p w:rsidR="00821D6C" w:rsidRPr="00821D6C" w:rsidRDefault="00821D6C" w:rsidP="00821D6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</w:t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821D6C" w:rsidRPr="00821D6C" w:rsidRDefault="00821D6C" w:rsidP="00821D6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(potpis ovlašćenog lica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ponuđača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)</w:t>
      </w:r>
    </w:p>
    <w:p w:rsidR="00821D6C" w:rsidRPr="002A613B" w:rsidRDefault="00821D6C" w:rsidP="007D616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175443" w:rsidRPr="00175443" w:rsidRDefault="00175443" w:rsidP="00175443">
      <w:pPr>
        <w:framePr w:h="1560" w:hRule="exact" w:hSpace="180" w:wrap="auto" w:vAnchor="text" w:hAnchor="page" w:x="2017" w:y="1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noProof/>
          <w:lang w:eastAsia="sr-Latn-RS"/>
        </w:rPr>
        <w:drawing>
          <wp:inline distT="0" distB="0" distL="0" distR="0">
            <wp:extent cx="883920" cy="929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13B" w:rsidRPr="002A613B" w:rsidRDefault="002A613B" w:rsidP="002A61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175443" w:rsidRPr="00175443" w:rsidRDefault="00175443" w:rsidP="00175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de-DE"/>
        </w:rPr>
      </w:pPr>
      <w:r w:rsidRPr="00175443">
        <w:rPr>
          <w:rFonts w:ascii="Times New Roman" w:eastAsia="Times New Roman" w:hAnsi="Times New Roman" w:cs="Times New Roman"/>
          <w:b/>
          <w:lang w:val="de-DE"/>
        </w:rPr>
        <w:t>INSTITUT ZA NEONATOLOGIJU</w:t>
      </w:r>
    </w:p>
    <w:p w:rsidR="00175443" w:rsidRPr="00175443" w:rsidRDefault="00175443" w:rsidP="00175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de-DE"/>
        </w:rPr>
      </w:pPr>
      <w:r w:rsidRPr="00175443">
        <w:rPr>
          <w:rFonts w:ascii="Times New Roman" w:eastAsia="Times New Roman" w:hAnsi="Times New Roman" w:cs="Times New Roman"/>
          <w:b/>
          <w:i/>
          <w:lang w:val="de-DE"/>
        </w:rPr>
        <w:t>BEOGRAD, Kralja Milutina br.50</w:t>
      </w:r>
    </w:p>
    <w:p w:rsidR="00D023B6" w:rsidRDefault="00D023B6" w:rsidP="0017544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de-DE" w:eastAsia="sl-SI"/>
        </w:rPr>
      </w:pPr>
    </w:p>
    <w:p w:rsidR="00842024" w:rsidRDefault="00842024" w:rsidP="0017544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de-DE" w:eastAsia="sl-SI"/>
        </w:rPr>
      </w:pPr>
    </w:p>
    <w:p w:rsidR="00842024" w:rsidRDefault="00842024" w:rsidP="00175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</w:pPr>
    </w:p>
    <w:p w:rsidR="007D616F" w:rsidRPr="007D616F" w:rsidRDefault="007D616F" w:rsidP="007D616F">
      <w:pPr>
        <w:suppressAutoHyphens/>
        <w:spacing w:after="0" w:line="100" w:lineRule="atLeast"/>
        <w:jc w:val="both"/>
        <w:rPr>
          <w:rFonts w:ascii="Arial" w:eastAsia="Arial Unicode MS" w:hAnsi="Arial" w:cs="Arial"/>
          <w:b/>
          <w:bCs/>
          <w:i/>
          <w:iCs/>
          <w:color w:val="000000"/>
          <w:kern w:val="1"/>
          <w:sz w:val="20"/>
          <w:szCs w:val="20"/>
          <w:lang w:eastAsia="ar-SA"/>
        </w:rPr>
      </w:pPr>
    </w:p>
    <w:p w:rsidR="007D616F" w:rsidRPr="007D616F" w:rsidRDefault="007D616F" w:rsidP="007D616F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  <w:t>O</w:t>
      </w: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BRAZAC </w:t>
      </w: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  <w:t>STRUKTURE PONUĐENE CENE</w:t>
      </w:r>
    </w:p>
    <w:p w:rsidR="007D616F" w:rsidRPr="007D616F" w:rsidRDefault="007D616F" w:rsidP="007D616F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7D616F" w:rsidRPr="007D616F" w:rsidRDefault="007D616F" w:rsidP="002D31BC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7D616F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 xml:space="preserve"> </w:t>
      </w:r>
      <w:bookmarkStart w:id="0" w:name="_Hlk51763201"/>
      <w:r w:rsidRPr="007D616F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>Nabavka</w:t>
      </w:r>
      <w:r w:rsidR="00095D9C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 xml:space="preserve"> </w:t>
      </w:r>
      <w:bookmarkEnd w:id="0"/>
      <w:r w:rsidR="002D31BC" w:rsidRPr="002D31BC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 xml:space="preserve">usluge ispitivanja parametara izvora zračenja za potrebe kontrole kvaliteta mera zaštite od jonizujućeg zračenja </w:t>
      </w:r>
    </w:p>
    <w:p w:rsidR="004029A8" w:rsidRDefault="004029A8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</w:pPr>
    </w:p>
    <w:p w:rsidR="00387E50" w:rsidRDefault="00387E50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u w:val="single"/>
          <w:lang w:eastAsia="ar-SA"/>
        </w:rPr>
      </w:pPr>
    </w:p>
    <w:tbl>
      <w:tblPr>
        <w:tblW w:w="10562" w:type="dxa"/>
        <w:jc w:val="center"/>
        <w:tblInd w:w="1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3402"/>
        <w:gridCol w:w="1125"/>
        <w:gridCol w:w="1101"/>
        <w:gridCol w:w="1183"/>
        <w:gridCol w:w="1028"/>
        <w:gridCol w:w="877"/>
        <w:gridCol w:w="892"/>
      </w:tblGrid>
      <w:tr w:rsidR="002D31BC" w:rsidRPr="00B36AB8" w:rsidTr="00565FDA">
        <w:trPr>
          <w:trHeight w:val="829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1BC" w:rsidRPr="00B36AB8" w:rsidRDefault="002D31BC" w:rsidP="002D31BC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eastAsia="sr-Latn-CS"/>
              </w:rPr>
            </w:pP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eastAsia="sr-Latn-CS"/>
              </w:rPr>
              <w:t>Redni br.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Naziv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usluge</w:t>
            </w:r>
          </w:p>
          <w:p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Jedinica</w:t>
            </w: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br/>
              <w:t>mere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Količina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Jedinična cena </w:t>
            </w: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br/>
              <w:t>bez PDV-a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Jedinična cena </w:t>
            </w: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br/>
              <w:t>sa PDV-om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Ukupna cena bez PDV-a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Ukupna cena </w:t>
            </w: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br/>
              <w:t>sa PDV-om</w:t>
            </w:r>
          </w:p>
        </w:tc>
      </w:tr>
      <w:tr w:rsidR="002D31BC" w:rsidRPr="00B36AB8" w:rsidTr="00565FDA">
        <w:trPr>
          <w:trHeight w:val="101"/>
          <w:jc w:val="center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C" w:rsidRPr="00B36AB8" w:rsidRDefault="002D31BC" w:rsidP="00565FD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C" w:rsidRPr="00B36AB8" w:rsidRDefault="002D31BC" w:rsidP="00565FD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C" w:rsidRPr="00B36AB8" w:rsidRDefault="002D31BC" w:rsidP="00565FDA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4 ( 1x2)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5 ( 1x3 )</w:t>
            </w:r>
          </w:p>
        </w:tc>
      </w:tr>
      <w:tr w:rsidR="002D31BC" w:rsidRPr="00B36AB8" w:rsidTr="00565FDA">
        <w:trPr>
          <w:trHeight w:val="55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bookmarkStart w:id="1" w:name="_Hlk51761348"/>
            <w:r w:rsidRPr="00B36AB8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C" w:rsidRPr="00B36AB8" w:rsidRDefault="002D31BC" w:rsidP="00565FDA">
            <w:pPr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Usluga</w:t>
            </w:r>
            <w:r w:rsidRPr="002D31BC">
              <w:rPr>
                <w:rFonts w:ascii="Times New Roman" w:hAnsi="Times New Roman" w:cs="Times New Roman"/>
                <w:lang w:val="sr-Latn-CS"/>
              </w:rPr>
              <w:t xml:space="preserve"> ispitivanja parametara izvora zračenja za potrebe kontrole kvaliteta mera zaštite od jonizujućeg zračenja</w:t>
            </w:r>
            <w:r w:rsidR="00D6381D">
              <w:t xml:space="preserve"> </w:t>
            </w:r>
            <w:r w:rsidR="00D6381D" w:rsidRPr="00D6381D">
              <w:rPr>
                <w:rFonts w:ascii="Times New Roman" w:hAnsi="Times New Roman" w:cs="Times New Roman"/>
                <w:lang w:val="sr-Latn-CS"/>
              </w:rPr>
              <w:t>u Odseku za radiološku, ultrazvučnu i EEG dijagnostiku.</w:t>
            </w:r>
            <w:bookmarkStart w:id="2" w:name="_GoBack"/>
            <w:bookmarkEnd w:id="2"/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BC" w:rsidRPr="00B36AB8" w:rsidRDefault="002D31BC" w:rsidP="00565FDA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Kom.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1BC" w:rsidRPr="00B36AB8" w:rsidRDefault="002D31BC" w:rsidP="00565FDA">
            <w:pPr>
              <w:tabs>
                <w:tab w:val="left" w:pos="8640"/>
              </w:tabs>
              <w:jc w:val="center"/>
              <w:rPr>
                <w:rFonts w:ascii="Times New Roman" w:hAnsi="Times New Roman" w:cs="Times New Roman"/>
                <w:b/>
                <w:bCs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lang w:val="sl-SI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1BC" w:rsidRPr="00B36AB8" w:rsidRDefault="002D31BC" w:rsidP="00565FD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bookmarkEnd w:id="1"/>
    </w:tbl>
    <w:p w:rsidR="00387E50" w:rsidRDefault="00387E50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u w:val="single"/>
          <w:lang w:eastAsia="ar-SA"/>
        </w:rPr>
      </w:pPr>
    </w:p>
    <w:p w:rsidR="00387E50" w:rsidRPr="00387E50" w:rsidRDefault="00387E50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u w:val="single"/>
          <w:lang w:eastAsia="ar-SA"/>
        </w:rPr>
      </w:pPr>
    </w:p>
    <w:p w:rsidR="00387E50" w:rsidRDefault="00387E50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</w:pP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  <w:t>Uputstvo za popunjavanje obrasca strukture cene: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Privredni subjekt treba da popuni obrazac strukture cene na sledeći način: 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2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upisati koliko iznosi jedinična cena bez PDV-a,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.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3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upisati koliko iznosi jedinična cena sa PDV-om, za traženi predmet javne nabavke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4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upisati koliko iznosi ukupna cena bez PDV-a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i to tako što će pomnožiti jediničnu cenu bez PDV-a (navedenu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2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.) sa traženim količinama; Na kraju upisati ukupnu cenu predmeta nabavke bez PDV-a.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5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. upisati koliko iznosi ukupna cena sa PDV-om za traženi predmet javne nabavke i to tako što će pomnožiti jediničnu cenu sa PDV-om (navedenu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3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.) sa traženim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 xml:space="preserve"> količinama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Na kraju upisati ukupnu cenu predmeta nabavke sa PDV-om. 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redu “Ukupna cena bez PDV-a” upisati zbir ukupnih cena iz kolone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4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.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redu “Iznos PDV-a” upisati ukupan iznos PDV-a za traženi predmet javne nabavke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redu “Ukupna cena sa PDV-om” upisati zbir ukupnih cena iz kolone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5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.</w:t>
      </w:r>
    </w:p>
    <w:p w:rsidR="00F829CF" w:rsidRDefault="00F829CF" w:rsidP="00F829CF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</w:pPr>
    </w:p>
    <w:p w:rsidR="00F829CF" w:rsidRPr="007D616F" w:rsidRDefault="00F829CF" w:rsidP="00F829CF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Napomena: Obrazac 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 xml:space="preserve">ponuđač 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mora da popuni, čime potvrđuje da su tačni podaci koji su u obrascu navedeni. Ukoliko privredni subjekti podnose zajedničku ponudu, grupa privredni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h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a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>ta može da se opredeli da obrazac potpisuju svi privredni subjekti iz grupe privredni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h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a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>ta ili grupa privredni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h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a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>ta može da odredi jednog privred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nog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subjekta iz grupe koji će popuniti obraz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.</w:t>
      </w:r>
    </w:p>
    <w:p w:rsidR="00F829CF" w:rsidRPr="00D023B6" w:rsidRDefault="00F829CF" w:rsidP="00F829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</w:pPr>
    </w:p>
    <w:p w:rsidR="004029A8" w:rsidRDefault="004029A8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</w:pPr>
    </w:p>
    <w:sectPr w:rsidR="00402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7" w:usb1="08070000" w:usb2="00000010" w:usb3="00000000" w:csb0="0002000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B5C"/>
    <w:multiLevelType w:val="hybridMultilevel"/>
    <w:tmpl w:val="2EF4B0B4"/>
    <w:lvl w:ilvl="0" w:tplc="1DC67AE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72" w:hanging="360"/>
      </w:pPr>
    </w:lvl>
    <w:lvl w:ilvl="2" w:tplc="241A001B" w:tentative="1">
      <w:start w:val="1"/>
      <w:numFmt w:val="lowerRoman"/>
      <w:lvlText w:val="%3."/>
      <w:lvlJc w:val="right"/>
      <w:pPr>
        <w:ind w:left="2792" w:hanging="180"/>
      </w:pPr>
    </w:lvl>
    <w:lvl w:ilvl="3" w:tplc="241A000F" w:tentative="1">
      <w:start w:val="1"/>
      <w:numFmt w:val="decimal"/>
      <w:lvlText w:val="%4."/>
      <w:lvlJc w:val="left"/>
      <w:pPr>
        <w:ind w:left="3512" w:hanging="360"/>
      </w:pPr>
    </w:lvl>
    <w:lvl w:ilvl="4" w:tplc="241A0019" w:tentative="1">
      <w:start w:val="1"/>
      <w:numFmt w:val="lowerLetter"/>
      <w:lvlText w:val="%5."/>
      <w:lvlJc w:val="left"/>
      <w:pPr>
        <w:ind w:left="4232" w:hanging="360"/>
      </w:pPr>
    </w:lvl>
    <w:lvl w:ilvl="5" w:tplc="241A001B" w:tentative="1">
      <w:start w:val="1"/>
      <w:numFmt w:val="lowerRoman"/>
      <w:lvlText w:val="%6."/>
      <w:lvlJc w:val="right"/>
      <w:pPr>
        <w:ind w:left="4952" w:hanging="180"/>
      </w:pPr>
    </w:lvl>
    <w:lvl w:ilvl="6" w:tplc="241A000F" w:tentative="1">
      <w:start w:val="1"/>
      <w:numFmt w:val="decimal"/>
      <w:lvlText w:val="%7."/>
      <w:lvlJc w:val="left"/>
      <w:pPr>
        <w:ind w:left="5672" w:hanging="360"/>
      </w:pPr>
    </w:lvl>
    <w:lvl w:ilvl="7" w:tplc="241A0019" w:tentative="1">
      <w:start w:val="1"/>
      <w:numFmt w:val="lowerLetter"/>
      <w:lvlText w:val="%8."/>
      <w:lvlJc w:val="left"/>
      <w:pPr>
        <w:ind w:left="6392" w:hanging="360"/>
      </w:pPr>
    </w:lvl>
    <w:lvl w:ilvl="8" w:tplc="241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96903E6"/>
    <w:multiLevelType w:val="hybridMultilevel"/>
    <w:tmpl w:val="1C9E583E"/>
    <w:lvl w:ilvl="0" w:tplc="4A90E948">
      <w:start w:val="1"/>
      <w:numFmt w:val="decimal"/>
      <w:lvlText w:val="(%1)"/>
      <w:lvlJc w:val="left"/>
      <w:pPr>
        <w:ind w:left="135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3B"/>
    <w:rsid w:val="00095D9C"/>
    <w:rsid w:val="001057D7"/>
    <w:rsid w:val="00165017"/>
    <w:rsid w:val="00175443"/>
    <w:rsid w:val="001865FA"/>
    <w:rsid w:val="0020442C"/>
    <w:rsid w:val="0026450E"/>
    <w:rsid w:val="00285421"/>
    <w:rsid w:val="002A613B"/>
    <w:rsid w:val="002D31BC"/>
    <w:rsid w:val="002F0E48"/>
    <w:rsid w:val="00387E50"/>
    <w:rsid w:val="003A0991"/>
    <w:rsid w:val="003A14E6"/>
    <w:rsid w:val="003E7B32"/>
    <w:rsid w:val="004029A8"/>
    <w:rsid w:val="004342D3"/>
    <w:rsid w:val="00583FB9"/>
    <w:rsid w:val="005857F8"/>
    <w:rsid w:val="005A5A8E"/>
    <w:rsid w:val="006447EA"/>
    <w:rsid w:val="00743131"/>
    <w:rsid w:val="007650F9"/>
    <w:rsid w:val="007D616F"/>
    <w:rsid w:val="00821D6C"/>
    <w:rsid w:val="00842024"/>
    <w:rsid w:val="00985E9A"/>
    <w:rsid w:val="00AA738E"/>
    <w:rsid w:val="00AE2F53"/>
    <w:rsid w:val="00B36AB8"/>
    <w:rsid w:val="00C66AE1"/>
    <w:rsid w:val="00CB3567"/>
    <w:rsid w:val="00CF20CE"/>
    <w:rsid w:val="00D023B6"/>
    <w:rsid w:val="00D311E7"/>
    <w:rsid w:val="00D6381D"/>
    <w:rsid w:val="00D77609"/>
    <w:rsid w:val="00DE1645"/>
    <w:rsid w:val="00E86BA8"/>
    <w:rsid w:val="00E872E3"/>
    <w:rsid w:val="00E95E17"/>
    <w:rsid w:val="00F829CF"/>
    <w:rsid w:val="00FB050D"/>
    <w:rsid w:val="00FD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443"/>
    <w:pPr>
      <w:ind w:left="720"/>
      <w:contextualSpacing/>
    </w:pPr>
  </w:style>
  <w:style w:type="paragraph" w:styleId="NoSpacing">
    <w:name w:val="No Spacing"/>
    <w:uiPriority w:val="1"/>
    <w:qFormat/>
    <w:rsid w:val="003E7B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443"/>
    <w:pPr>
      <w:ind w:left="720"/>
      <w:contextualSpacing/>
    </w:pPr>
  </w:style>
  <w:style w:type="paragraph" w:styleId="NoSpacing">
    <w:name w:val="No Spacing"/>
    <w:uiPriority w:val="1"/>
    <w:qFormat/>
    <w:rsid w:val="003E7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110CE-8AA6-4774-B49A-A7FBBEAF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KadVR</dc:creator>
  <cp:lastModifiedBy>Javne Nabavke</cp:lastModifiedBy>
  <cp:revision>42</cp:revision>
  <cp:lastPrinted>2022-03-17T11:49:00Z</cp:lastPrinted>
  <dcterms:created xsi:type="dcterms:W3CDTF">2020-09-02T06:44:00Z</dcterms:created>
  <dcterms:modified xsi:type="dcterms:W3CDTF">2022-08-05T08:34:00Z</dcterms:modified>
</cp:coreProperties>
</file>