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285421" w:rsidRPr="00285421" w:rsidRDefault="00821D6C" w:rsidP="0028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usluga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osiguranјa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imovine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,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lica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i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motornih</w:t>
      </w:r>
      <w:r w:rsidR="00285421"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vozila</w:t>
      </w:r>
    </w:p>
    <w:p w:rsidR="00821D6C" w:rsidRPr="00821D6C" w:rsidRDefault="00285421" w:rsidP="002854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285421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za period od dvanaest meseci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285421" w:rsidRPr="00285421" w:rsidRDefault="007D616F" w:rsidP="00285421">
      <w:pPr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7D616F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End w:id="0"/>
      <w:r w:rsidR="00285421" w:rsidRPr="00285421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usluga osiguranјa imovine, lica i motornih vozila</w:t>
      </w:r>
    </w:p>
    <w:p w:rsidR="007D616F" w:rsidRPr="007D616F" w:rsidRDefault="00285421" w:rsidP="00285421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285421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za period od dvanaest meseci</w:t>
      </w: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tbl>
      <w:tblPr>
        <w:tblW w:w="9510" w:type="dxa"/>
        <w:jc w:val="center"/>
        <w:tblInd w:w="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230"/>
        <w:gridCol w:w="1057"/>
        <w:gridCol w:w="641"/>
        <w:gridCol w:w="1057"/>
      </w:tblGrid>
      <w:tr w:rsidR="00285421" w:rsidRPr="0033603B" w:rsidTr="00753B89">
        <w:trPr>
          <w:trHeight w:val="160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21" w:rsidRPr="0033603B" w:rsidRDefault="00285421" w:rsidP="00753B89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 Dobara 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hAnsi="Times New Roman" w:cs="Times New Roman"/>
              </w:rPr>
              <w:t>Godišnja premija osiguranja bez poreza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Porez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hAnsi="Times New Roman" w:cs="Times New Roman"/>
              </w:rPr>
              <w:t>Godišnja premija osiguranja sa porezom</w:t>
            </w:r>
          </w:p>
        </w:tc>
      </w:tr>
      <w:tr w:rsidR="00285421" w:rsidRPr="0033603B" w:rsidTr="00753B89">
        <w:trPr>
          <w:trHeight w:val="446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bookmarkStart w:id="1" w:name="_Hlk51761348"/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pacing w:after="0" w:line="240" w:lineRule="auto"/>
              <w:rPr>
                <w:rFonts w:ascii="Times New Roman" w:hAnsi="Times New Roman" w:cs="Times New Roman"/>
                <w:lang w:val="sl-SI" w:eastAsia="sr-Latn-CS"/>
              </w:rPr>
            </w:pPr>
            <w:r w:rsidRPr="0033603B">
              <w:rPr>
                <w:rFonts w:ascii="Times New Roman" w:hAnsi="Times New Roman" w:cs="Times New Roman"/>
                <w:b/>
              </w:rPr>
              <w:t>Partija 1. - Osiguranje imovine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3603B">
              <w:rPr>
                <w:rFonts w:ascii="Times New Roman" w:hAnsi="Times New Roman" w:cs="Times New Roman"/>
              </w:rPr>
              <w:t xml:space="preserve">Osiguranje osnovnih sredstava </w:t>
            </w:r>
            <w:r w:rsidRPr="0033603B">
              <w:rPr>
                <w:rFonts w:ascii="Times New Roman" w:eastAsia="TimesNewRomanPSMT" w:hAnsi="Times New Roman" w:cs="Times New Roman"/>
              </w:rPr>
              <w:t xml:space="preserve">(građevinskih objekata, opreme, </w:t>
            </w:r>
            <w:r w:rsidRPr="0033603B">
              <w:rPr>
                <w:rFonts w:ascii="Times New Roman" w:eastAsia="TimesNewRomanPSMT" w:hAnsi="Times New Roman" w:cs="Times New Roman"/>
                <w:lang w:val="sr-Latn-CS"/>
              </w:rPr>
              <w:t>nameštaja</w:t>
            </w:r>
            <w:r w:rsidRPr="0033603B">
              <w:rPr>
                <w:rFonts w:ascii="Times New Roman" w:eastAsia="TimesNewRomanPSMT" w:hAnsi="Times New Roman" w:cs="Times New Roman"/>
              </w:rPr>
              <w:t>) i zaliha od  poža</w:t>
            </w:r>
            <w:r w:rsidRPr="0033603B">
              <w:rPr>
                <w:rFonts w:ascii="Times New Roman" w:eastAsia="TimesNewRomanPSMT" w:hAnsi="Times New Roman" w:cs="Times New Roman"/>
                <w:lang w:val="sr-Latn-CS"/>
              </w:rPr>
              <w:t>r</w:t>
            </w:r>
            <w:r w:rsidRPr="0033603B">
              <w:rPr>
                <w:rFonts w:ascii="Times New Roman" w:eastAsia="TimesNewRomanPSMT" w:hAnsi="Times New Roman" w:cs="Times New Roman"/>
              </w:rPr>
              <w:t>a i nekih drugih opasnosti sa pokrićem osnovnih rizika i nekih dopunskih rizika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mašina i opreme (osim računara i sličnih uređaja), kao i osiguranje mehaničke opreme, instalacija i vodova  u sastavu građevinskih objekata kroz osiguranje mašina od loma i nekih drugih opasnosti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dela opreme (računara i sličnih uređaja) kroz kombinovano osiguranje elektronskih računara, procesora i sličnih uređaja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 xml:space="preserve">Osiguranje opreme i zaliha od provalne krađe i razbojništva 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 xml:space="preserve">Osiguranje stakla od </w:t>
            </w:r>
            <w:proofErr w:type="spellStart"/>
            <w:r w:rsidRPr="0033603B">
              <w:rPr>
                <w:rFonts w:ascii="Times New Roman" w:eastAsia="TimesNewRomanPSMT" w:hAnsi="Times New Roman" w:cs="Times New Roman"/>
                <w:lang w:val="en-US"/>
              </w:rPr>
              <w:t>loma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33603B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6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opšte odgovornosti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rPr>
                <w:rFonts w:ascii="Times New Roman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  <w:b/>
              </w:rPr>
              <w:t>PARTIJA 1. -</w:t>
            </w:r>
            <w:r w:rsidRPr="003360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33603B">
              <w:rPr>
                <w:rFonts w:ascii="Times New Roman" w:hAnsi="Times New Roman" w:cs="Times New Roman"/>
                <w:b/>
              </w:rPr>
              <w:t>UKUPNA GODIŠNJA PREMIJA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rPr>
                <w:rFonts w:ascii="Times New Roman" w:hAnsi="Times New Roman" w:cs="Times New Roman"/>
              </w:rPr>
            </w:pPr>
            <w:r w:rsidRPr="0033603B">
              <w:rPr>
                <w:rFonts w:ascii="Times New Roman" w:hAnsi="Times New Roman" w:cs="Times New Roman"/>
                <w:b/>
              </w:rPr>
              <w:t>Partija 2. - Osiguranje lica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EB2817">
            <w:pPr>
              <w:rPr>
                <w:rFonts w:ascii="Times New Roman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zaposlenih u toku 24 časa</w:t>
            </w:r>
            <w:r w:rsidR="00EB2817">
              <w:rPr>
                <w:rFonts w:ascii="Times New Roman" w:eastAsia="TimesNewRomanPSMT" w:hAnsi="Times New Roman" w:cs="Times New Roman"/>
              </w:rPr>
              <w:t>, prema opisu iz tehničke specifikacije</w:t>
            </w:r>
            <w:bookmarkStart w:id="2" w:name="_GoBack"/>
            <w:bookmarkEnd w:id="2"/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463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tabs>
                <w:tab w:val="left" w:pos="4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lang w:eastAsia="sr-Latn-CS"/>
              </w:rPr>
            </w:pPr>
            <w:r w:rsidRPr="0033603B">
              <w:rPr>
                <w:rFonts w:ascii="Times New Roman" w:eastAsia="TimesNewRomanPSMT" w:hAnsi="Times New Roman" w:cs="Times New Roman"/>
                <w:b/>
                <w:lang w:eastAsia="sr-Latn-CS"/>
              </w:rPr>
              <w:tab/>
            </w:r>
          </w:p>
          <w:p w:rsidR="00285421" w:rsidRPr="0033603B" w:rsidRDefault="00285421" w:rsidP="00753B89">
            <w:pPr>
              <w:rPr>
                <w:rFonts w:ascii="Times New Roman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  <w:b/>
                <w:lang w:val="sr-Cyrl-CS" w:eastAsia="sr-Latn-CS"/>
              </w:rPr>
              <w:t>PARTIJA 2. -</w:t>
            </w:r>
            <w:r w:rsidRPr="0033603B">
              <w:rPr>
                <w:rFonts w:ascii="Times New Roman" w:eastAsia="TimesNewRomanPSMT" w:hAnsi="Times New Roman" w:cs="Times New Roman"/>
                <w:lang w:val="sr-Cyrl-CS" w:eastAsia="sr-Latn-CS"/>
              </w:rPr>
              <w:t xml:space="preserve"> </w:t>
            </w:r>
            <w:r w:rsidRPr="0033603B">
              <w:rPr>
                <w:rFonts w:ascii="Times New Roman" w:eastAsia="Calibri" w:hAnsi="Times New Roman" w:cs="Times New Roman"/>
                <w:b/>
                <w:lang w:val="sr-Cyrl-CS" w:eastAsia="sr-Latn-CS"/>
              </w:rPr>
              <w:t>UKUPNA GODIŠNJA PREMIJA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tabs>
                <w:tab w:val="left" w:pos="4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lang w:eastAsia="sr-Latn-CS"/>
              </w:rPr>
            </w:pPr>
            <w:r w:rsidRPr="0033603B">
              <w:rPr>
                <w:rFonts w:ascii="Times New Roman" w:hAnsi="Times New Roman" w:cs="Times New Roman"/>
                <w:b/>
              </w:rPr>
              <w:t>Partija 3. - Osiguranje motornih vozila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lastRenderedPageBreak/>
              <w:t>1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motornih vozila kroz obavezno osiguranje vlasnika motornih vozila od odgovornosti za štetu pričinjenu trećim licima (autoodgovornost)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Kombinovano osiguranje motornih vozila (auto kasko)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21" w:rsidRPr="0033603B" w:rsidRDefault="00285421" w:rsidP="00753B8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</w:rPr>
            </w:pPr>
            <w:r w:rsidRPr="0033603B">
              <w:rPr>
                <w:rFonts w:ascii="Times New Roman" w:eastAsia="TimesNewRomanPSMT" w:hAnsi="Times New Roman" w:cs="Times New Roman"/>
              </w:rPr>
              <w:t>Osiguranje vozača i putnika u vozilima od posledica nesrećnog slučaja (auto nezgoda)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tr w:rsidR="00285421" w:rsidRPr="0033603B" w:rsidTr="00753B89">
        <w:trPr>
          <w:trHeight w:val="55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tabs>
                <w:tab w:val="left" w:pos="40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lang w:eastAsia="sr-Latn-CS"/>
              </w:rPr>
            </w:pPr>
            <w:r w:rsidRPr="0033603B">
              <w:rPr>
                <w:rFonts w:ascii="Times New Roman" w:eastAsia="TimesNewRomanPSMT" w:hAnsi="Times New Roman" w:cs="Times New Roman"/>
                <w:b/>
              </w:rPr>
              <w:t>PARTIJA 3. -</w:t>
            </w:r>
            <w:r w:rsidRPr="0033603B">
              <w:rPr>
                <w:rFonts w:ascii="Times New Roman" w:eastAsia="TimesNewRomanPSMT" w:hAnsi="Times New Roman" w:cs="Times New Roman"/>
              </w:rPr>
              <w:t xml:space="preserve"> </w:t>
            </w:r>
            <w:r w:rsidRPr="0033603B">
              <w:rPr>
                <w:rFonts w:ascii="Times New Roman" w:hAnsi="Times New Roman" w:cs="Times New Roman"/>
                <w:b/>
              </w:rPr>
              <w:t>UKUPNA GODIŠNJA PREMIJA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421" w:rsidRPr="0033603B" w:rsidRDefault="00285421" w:rsidP="00753B89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</w:tbl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P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57D7"/>
    <w:rsid w:val="00165017"/>
    <w:rsid w:val="00175443"/>
    <w:rsid w:val="001865FA"/>
    <w:rsid w:val="0020442C"/>
    <w:rsid w:val="0026450E"/>
    <w:rsid w:val="00285421"/>
    <w:rsid w:val="002A613B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47EA"/>
    <w:rsid w:val="00743131"/>
    <w:rsid w:val="007650F9"/>
    <w:rsid w:val="007D616F"/>
    <w:rsid w:val="00821D6C"/>
    <w:rsid w:val="00842024"/>
    <w:rsid w:val="00985E9A"/>
    <w:rsid w:val="00AA738E"/>
    <w:rsid w:val="00AE2F53"/>
    <w:rsid w:val="00B36AB8"/>
    <w:rsid w:val="00C66AE1"/>
    <w:rsid w:val="00CB3567"/>
    <w:rsid w:val="00CF20CE"/>
    <w:rsid w:val="00D023B6"/>
    <w:rsid w:val="00D311E7"/>
    <w:rsid w:val="00D77609"/>
    <w:rsid w:val="00DE1645"/>
    <w:rsid w:val="00E86BA8"/>
    <w:rsid w:val="00E872E3"/>
    <w:rsid w:val="00E95E17"/>
    <w:rsid w:val="00EB28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1B7F-C853-4316-87F8-0E4C789F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41</cp:revision>
  <cp:lastPrinted>2022-03-17T11:49:00Z</cp:lastPrinted>
  <dcterms:created xsi:type="dcterms:W3CDTF">2020-09-02T06:44:00Z</dcterms:created>
  <dcterms:modified xsi:type="dcterms:W3CDTF">2022-08-05T09:13:00Z</dcterms:modified>
</cp:coreProperties>
</file>